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ind w:firstLine="2409" w:firstLineChars="10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第一包、柠檬酸消毒液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1、本品系含柠檬酸、苹果酸、乳酸、苯甲酸的溶液；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2、主要有效成分及含量：柠檬酸浓度50.0%(W/V)；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3、在80℃条件下可杀灭肠道致病菌、化脓性球菌、致病性酵母菌、医院感染常见菌和细菌芽孢；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4、外观：无色澄清液体;Ph值:加水稀释5倍后应为1.7-2.1;总酸度:每克1.0mol/LNaOH3的消耗量应为2.8-4.5ml；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5、规格参考：5L；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6、有效期≥24个月。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1928" w:firstLineChars="8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第二包、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动态心电导联线参数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该产品是由患者导联线（信号线、金属件（金属插针、夹、扣子））和主电缆（标准插头、分线盒、信号线）组成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我院目前在用的</w:t>
      </w:r>
      <w:r>
        <w:rPr>
          <w:rFonts w:hint="eastAsia" w:ascii="宋体" w:hAnsi="宋体" w:eastAsia="宋体" w:cs="宋体"/>
          <w:sz w:val="24"/>
          <w:szCs w:val="24"/>
        </w:rPr>
        <w:t>动态心电设备配套联合使用，用于传输人体生物电信号，对病人的ECG进行测量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使用期限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2年。</w:t>
      </w:r>
    </w:p>
    <w:p>
      <w:pPr>
        <w:pStyle w:val="1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（现有在用</w:t>
      </w:r>
      <w:r>
        <w:rPr>
          <w:rFonts w:hint="eastAsia" w:ascii="宋体" w:hAnsi="宋体" w:eastAsia="宋体" w:cs="宋体"/>
          <w:sz w:val="24"/>
          <w:szCs w:val="24"/>
        </w:rPr>
        <w:t>动态心电设备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请咨询医学装备科0551-87335885）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1928" w:firstLineChars="8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第三包、耳鼻喉科专用器械</w:t>
      </w:r>
    </w:p>
    <w:p>
      <w:pPr>
        <w:pStyle w:val="1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56"/>
        <w:gridCol w:w="4751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单位（把）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抓钳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1、抓钳135mm±5mm，头端宽度3.8mm，刃口倾斜向下弯曲；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2、采用医用不锈钢，表面亚光无镀层处理。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鼻剥离器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1、长180mm，直铲型，头宽5mm，带吸引功能，长度公差范围±5mm；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2、鼻剥离器表面无锋棱、毛刺、裂纹等缺陷，表面亚光无镀层处理；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3、鼻剥离器采用医用不锈钢，应经热处理，硬度为40-53HRC。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鼻中隔剥离器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1、单头不锈钢材料：牌号为20Cr13；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2、长度19cm,头部宽度6mm,头部厚度4.2mm,头部长69mm，角弯15°；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3、采用喷砂工艺，表面为亚光状态，粗糙度≤0.8um。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鼻腔吸引管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1、长度17.5cm,管径2.5mm，中段角弯；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2、缩口不锈钢材质为06Cr18Ni9,20Cr13；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3、采用电镀工艺，表面为亮光状态，粗糙度≤0.8um。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鼻腔吸引管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1、长度17.5cm,管径2.5mm，中段微弯，缩口；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2、不锈钢材料为06Cr18Ni9,20Cr13；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3、采用电镀工艺，表面为亮光状态，粗糙度≤0.8um。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鼻组织钳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1、盖板式，直尖头，带吸引功能；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2、不锈钢材料为20Cr13；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3、长度12cm,头宽3.8mm,直形，刃口微锐但不锋利；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4、采用喷砂工艺，表面为亚光状态，粗糙度≤0.8um。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鼻组织钳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1、盖板式，上弯45°尖头，带吸引功能，不锈钢材料为20Cr13；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2、长度12cm,头宽3.8mm，刃口微锐但不锋利，采用喷砂工艺；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3、表面为亚光状态，粗糙度≤0.8um。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鼻组织钳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1、管式，长度12cm,头宽5.2mm，头部上翘110°，直蝴蝶头，不锈钢材质为20Cr13；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2、直形，刃口微锐不锋利，采用喷砂工艺，表面为亚光状态；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3、粗糙度≤0.8um。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喉钳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1、长度170mm，管式下弯，一柄三个取样头；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2、不锈钢材料为20Cr13，刃口微锐但不锋利，采用喷砂工艺，表面为亚光状态，粗糙度不大于0.8um。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鼻组织钳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1、130mm×5mm,管式，头部上翘5°直蝴蝶头，不锈钢材料：牌号为20Cr13。长度12cm,头宽5mm,直形，刃口微锐不锋利，采用喷砂工艺，表面为亚光状态，粗糙度≤0.8um。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鼻组织钳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1、130×3.5,盖板式，直尖圆头，不锈钢材料：牌号为20Cr13。长度13cm,头宽3.5mm,直尖有齿，采用喷砂工艺，表面为亚光状态，粗糙度不大于0.8um。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鼻组织钳</w:t>
            </w:r>
          </w:p>
        </w:tc>
        <w:tc>
          <w:tcPr>
            <w:tcW w:w="31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1、130×3.5,盖板式，上弯45°尖头，不锈钢材料：牌号为20Cr13。长度13cm,头宽3.5mm，刃口微锐但不锋利，采用喷砂工艺，表面为亚光状态，粗糙度不大于0.8um。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10"/>
        <w:ind w:firstLine="2168" w:firstLineChars="9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第四包、眼科专用手术器械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16"/>
        <w:gridCol w:w="4990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规格参数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单位（把）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7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开睑器</w:t>
            </w:r>
          </w:p>
        </w:tc>
        <w:tc>
          <w:tcPr>
            <w:tcW w:w="31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1、钛露睫式；2、扩展杆长13mm，全长68mm；3、可固定封。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缝线结扎镊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2、直型，1*2齿，头宽0.3mm，钛合金，全长86mm。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撕囊镊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1、角型，12mm，全长103mm；2、钛合金。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医用睫毛镊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1、显微角型，头宽1mm，长7mm，全长100mm。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眼用显微持针器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1、钛弯型；2、一体式圆柄，柄粗7mm，全长120mm。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膜状内障剪</w:t>
            </w:r>
          </w:p>
        </w:tc>
        <w:tc>
          <w:tcPr>
            <w:tcW w:w="31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1、镀膜弯尖和直尖型；2、刃长16mm，镀膜全长125mm。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pStyle w:val="1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投标人按下表格式提供技术响应表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货物名称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询价函规定的技术参数要求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所投产品的品牌、型号及技术参数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证明材料页码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偏离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6"/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6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top"/>
          </w:tcPr>
          <w:p>
            <w:pPr>
              <w:pStyle w:val="6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6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top"/>
          </w:tcPr>
          <w:p>
            <w:pPr>
              <w:pStyle w:val="6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6"/>
              <w:ind w:left="0" w:leftChars="0" w:firstLine="0" w:firstLineChars="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noWrap w:val="0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6"/>
              <w:rPr>
                <w:rFonts w:hint="default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6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 ...</w:t>
            </w:r>
          </w:p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ZTFlYjMzNTBiMjhiYTAxYTMxZjAzZTYxZTZiY2EifQ=="/>
    <w:docVar w:name="KSO_WPS_MARK_KEY" w:val="84d94f59-1420-40c9-b250-fa6ac7d9d822"/>
  </w:docVars>
  <w:rsids>
    <w:rsidRoot w:val="5B912213"/>
    <w:rsid w:val="032B539E"/>
    <w:rsid w:val="037A1C21"/>
    <w:rsid w:val="03865C61"/>
    <w:rsid w:val="03F7091C"/>
    <w:rsid w:val="056832DA"/>
    <w:rsid w:val="06625F6B"/>
    <w:rsid w:val="066D3096"/>
    <w:rsid w:val="11023FD6"/>
    <w:rsid w:val="12835117"/>
    <w:rsid w:val="1B4A7E13"/>
    <w:rsid w:val="204917AC"/>
    <w:rsid w:val="27AB39E7"/>
    <w:rsid w:val="2E7A4DE6"/>
    <w:rsid w:val="31CC7CAC"/>
    <w:rsid w:val="334915FA"/>
    <w:rsid w:val="383A1D2F"/>
    <w:rsid w:val="3B1B56D7"/>
    <w:rsid w:val="45AB56F9"/>
    <w:rsid w:val="45C40BFB"/>
    <w:rsid w:val="468323C8"/>
    <w:rsid w:val="4C067384"/>
    <w:rsid w:val="4E5C2BD9"/>
    <w:rsid w:val="523A23E5"/>
    <w:rsid w:val="53E42B88"/>
    <w:rsid w:val="54980F9C"/>
    <w:rsid w:val="55C12DA2"/>
    <w:rsid w:val="572A3C61"/>
    <w:rsid w:val="5AC3678C"/>
    <w:rsid w:val="5B912213"/>
    <w:rsid w:val="5F780826"/>
    <w:rsid w:val="61931F05"/>
    <w:rsid w:val="62770BDB"/>
    <w:rsid w:val="68C622D1"/>
    <w:rsid w:val="6AFE77A9"/>
    <w:rsid w:val="6C3C22B7"/>
    <w:rsid w:val="6CE252E6"/>
    <w:rsid w:val="72A1339F"/>
    <w:rsid w:val="72AA156E"/>
    <w:rsid w:val="75527EBE"/>
    <w:rsid w:val="75B25DA8"/>
    <w:rsid w:val="77851B9D"/>
    <w:rsid w:val="77B31CED"/>
    <w:rsid w:val="7B13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Indent"/>
    <w:basedOn w:val="1"/>
    <w:next w:val="1"/>
    <w:qFormat/>
    <w:uiPriority w:val="0"/>
    <w:pPr>
      <w:wordWrap w:val="0"/>
      <w:ind w:left="3400"/>
      <w:jc w:val="both"/>
    </w:pPr>
    <w:rPr>
      <w:sz w:val="21"/>
      <w:lang w:val="en-US" w:eastAsia="zh-CN" w:bidi="ar-SA"/>
    </w:rPr>
  </w:style>
  <w:style w:type="paragraph" w:styleId="6">
    <w:name w:val="index 4"/>
    <w:basedOn w:val="1"/>
    <w:next w:val="1"/>
    <w:qFormat/>
    <w:uiPriority w:val="99"/>
    <w:pPr>
      <w:ind w:left="600" w:leftChars="600"/>
    </w:pPr>
    <w:rPr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章标题"/>
    <w:next w:val="1"/>
    <w:qFormat/>
    <w:uiPriority w:val="99"/>
    <w:pPr>
      <w:spacing w:beforeLines="50" w:afterLines="50" w:line="336" w:lineRule="auto"/>
      <w:jc w:val="both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1680</Characters>
  <Lines>0</Lines>
  <Paragraphs>0</Paragraphs>
  <TotalTime>0</TotalTime>
  <ScaleCrop>false</ScaleCrop>
  <LinksUpToDate>false</LinksUpToDate>
  <CharactersWithSpaces>1681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2024-06-25T00:57:00Z</dcterms:created>
  <dc:creator>admin</dc:creator>
  <cp:lastModifiedBy>永恒</cp:lastModifiedBy>
  <dcterms:modified xsi:type="dcterms:W3CDTF">2024-08-13T07:16:53Z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639C870A2F014719B1FB11098C5AC676_13</vt:lpwstr>
  </property>
</Properties>
</file>